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FA3220">
      <w:pPr>
        <w:ind w:right="-284"/>
        <w:rPr>
          <w:rFonts w:ascii="Arial" w:hAnsi="Arial"/>
          <w:sz w:val="16"/>
        </w:rPr>
      </w:pPr>
    </w:p>
    <w:p w:rsidR="00836991" w:rsidRDefault="00EE3768" w:rsidP="00E82EB4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E82EB4" w:rsidRDefault="00E82EB4" w:rsidP="00E82EB4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Burhaniye</w:t>
      </w:r>
      <w:proofErr w:type="gramEnd"/>
      <w:r w:rsidR="009B779E">
        <w:rPr>
          <w:szCs w:val="24"/>
        </w:rPr>
        <w:t xml:space="preserve"> İlçe Milli Eğitim Müdürlüğü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B47316">
        <w:rPr>
          <w:szCs w:val="24"/>
        </w:rPr>
        <w:t xml:space="preserve"> </w:t>
      </w:r>
      <w:r w:rsidR="00BA6454" w:rsidRPr="00BA6454">
        <w:rPr>
          <w:szCs w:val="24"/>
        </w:rPr>
        <w:t>22DT960759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</w:t>
      </w:r>
      <w:proofErr w:type="gramStart"/>
      <w:r>
        <w:rPr>
          <w:szCs w:val="24"/>
        </w:rPr>
        <w:t>Adı                :</w:t>
      </w:r>
      <w:r w:rsidR="00E73C0C">
        <w:rPr>
          <w:szCs w:val="24"/>
        </w:rPr>
        <w:t>İLÇEMİZ</w:t>
      </w:r>
      <w:proofErr w:type="gramEnd"/>
      <w:r w:rsidR="00E73C0C">
        <w:rPr>
          <w:szCs w:val="24"/>
        </w:rPr>
        <w:t xml:space="preserve"> TEMEL EĞİTİM OKULLARININ TADİLAT TAMİRAT VE ONARIMI İŞİ</w:t>
      </w:r>
    </w:p>
    <w:p w:rsidR="00FA3220" w:rsidRDefault="00FA3220" w:rsidP="00A208D0">
      <w:pPr>
        <w:rPr>
          <w:szCs w:val="24"/>
        </w:rPr>
      </w:pPr>
    </w:p>
    <w:p w:rsidR="00FA3220" w:rsidRPr="00FA3220" w:rsidRDefault="00FA3220" w:rsidP="00FA3220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 </w:t>
      </w:r>
      <w:proofErr w:type="gramStart"/>
      <w:r w:rsidRPr="00FA3220">
        <w:rPr>
          <w:szCs w:val="24"/>
        </w:rPr>
        <w:t xml:space="preserve">İlçemiz </w:t>
      </w:r>
      <w:proofErr w:type="spellStart"/>
      <w:r w:rsidRPr="00FA3220">
        <w:rPr>
          <w:szCs w:val="24"/>
        </w:rPr>
        <w:t>Bahadınlı</w:t>
      </w:r>
      <w:proofErr w:type="spellEnd"/>
      <w:r w:rsidRPr="00FA3220">
        <w:rPr>
          <w:szCs w:val="24"/>
        </w:rPr>
        <w:t xml:space="preserve"> Mahallesind</w:t>
      </w:r>
      <w:r w:rsidR="00B47316">
        <w:rPr>
          <w:szCs w:val="24"/>
        </w:rPr>
        <w:t xml:space="preserve">e bulunan </w:t>
      </w:r>
      <w:proofErr w:type="spellStart"/>
      <w:r w:rsidR="00B47316">
        <w:rPr>
          <w:szCs w:val="24"/>
        </w:rPr>
        <w:t>Bahadınlı</w:t>
      </w:r>
      <w:proofErr w:type="spellEnd"/>
      <w:r w:rsidR="00B47316">
        <w:rPr>
          <w:szCs w:val="24"/>
        </w:rPr>
        <w:t xml:space="preserve"> İlkokulu, </w:t>
      </w:r>
      <w:r w:rsidRPr="00FA3220">
        <w:rPr>
          <w:szCs w:val="24"/>
        </w:rPr>
        <w:t>Cumhuriyet Mahallesind</w:t>
      </w:r>
      <w:r w:rsidR="00B47316">
        <w:rPr>
          <w:szCs w:val="24"/>
        </w:rPr>
        <w:t>e bulunan Cumhuriyet İlkokulu</w:t>
      </w:r>
      <w:r w:rsidRPr="00FA3220">
        <w:rPr>
          <w:szCs w:val="24"/>
        </w:rPr>
        <w:t>, Mahkeme Mahallesinde bulu</w:t>
      </w:r>
      <w:r w:rsidR="00B47316">
        <w:rPr>
          <w:szCs w:val="24"/>
        </w:rPr>
        <w:t xml:space="preserve">nan Faruk Kızıklı İlkokulu, </w:t>
      </w:r>
      <w:r w:rsidRPr="00FA3220">
        <w:rPr>
          <w:szCs w:val="24"/>
        </w:rPr>
        <w:t>Şarköy Mahalle</w:t>
      </w:r>
      <w:r w:rsidR="00B47316">
        <w:rPr>
          <w:szCs w:val="24"/>
        </w:rPr>
        <w:t>sinde bulunan Şarköy İlkokulu</w:t>
      </w:r>
      <w:r w:rsidRPr="00FA3220">
        <w:rPr>
          <w:szCs w:val="24"/>
        </w:rPr>
        <w:t>,</w:t>
      </w:r>
      <w:r w:rsidR="00B47316">
        <w:rPr>
          <w:szCs w:val="24"/>
        </w:rPr>
        <w:t xml:space="preserve"> </w:t>
      </w:r>
      <w:r w:rsidRPr="00FA3220">
        <w:rPr>
          <w:szCs w:val="24"/>
        </w:rPr>
        <w:t xml:space="preserve">Şarköy Mahallesinde bulunan </w:t>
      </w:r>
      <w:r w:rsidR="00B47316">
        <w:rPr>
          <w:szCs w:val="24"/>
        </w:rPr>
        <w:t xml:space="preserve">Şehit Mustafa Serin Ortaokulu, </w:t>
      </w:r>
      <w:proofErr w:type="spellStart"/>
      <w:r w:rsidRPr="00FA3220">
        <w:rPr>
          <w:szCs w:val="24"/>
        </w:rPr>
        <w:t>Memiş</w:t>
      </w:r>
      <w:proofErr w:type="spellEnd"/>
      <w:r w:rsidRPr="00FA3220">
        <w:rPr>
          <w:szCs w:val="24"/>
        </w:rPr>
        <w:t xml:space="preserve"> Mahallesinde bulunan Şehit Pilot </w:t>
      </w:r>
      <w:r w:rsidR="00B47316">
        <w:rPr>
          <w:szCs w:val="24"/>
        </w:rPr>
        <w:t>Üsteğmen Erdem Mut Ortaokulunun aşağıda belirtilen tadilat, tamirat ve onarım işleri</w:t>
      </w:r>
      <w:r w:rsidRPr="00FA3220">
        <w:rPr>
          <w:szCs w:val="24"/>
        </w:rPr>
        <w:t xml:space="preserve"> Doğrudan Temin Usulü ile yapılacaktır. </w:t>
      </w:r>
      <w:proofErr w:type="gramEnd"/>
      <w:r w:rsidRPr="00FA3220">
        <w:rPr>
          <w:szCs w:val="24"/>
        </w:rPr>
        <w:t xml:space="preserve">Bu iş için fiyatınızın KDV hariç olmak üzere teklif mektubunu ve yer görme belgesini de imzalayarak kapalı zarf içerisinde en geç </w:t>
      </w:r>
      <w:proofErr w:type="gramStart"/>
      <w:r w:rsidR="00B47316">
        <w:rPr>
          <w:b/>
          <w:szCs w:val="24"/>
        </w:rPr>
        <w:t>20</w:t>
      </w:r>
      <w:r w:rsidRPr="00FA3220">
        <w:rPr>
          <w:b/>
          <w:szCs w:val="24"/>
        </w:rPr>
        <w:t>/09/2</w:t>
      </w:r>
      <w:r w:rsidR="00B47316">
        <w:rPr>
          <w:b/>
          <w:szCs w:val="24"/>
        </w:rPr>
        <w:t>022</w:t>
      </w:r>
      <w:proofErr w:type="gramEnd"/>
      <w:r w:rsidR="00B47316">
        <w:rPr>
          <w:b/>
          <w:szCs w:val="24"/>
        </w:rPr>
        <w:t xml:space="preserve"> Salı günü saat 14</w:t>
      </w:r>
      <w:r w:rsidRPr="00FA3220">
        <w:rPr>
          <w:b/>
          <w:szCs w:val="24"/>
        </w:rPr>
        <w:t>.00’e</w:t>
      </w:r>
      <w:r w:rsidRPr="00FA3220">
        <w:rPr>
          <w:szCs w:val="24"/>
        </w:rPr>
        <w:t xml:space="preserve"> kadar Müdürlüğümüz İnşaat ve Emlak Şubesi</w:t>
      </w:r>
      <w:r w:rsidR="00B47316">
        <w:rPr>
          <w:szCs w:val="24"/>
        </w:rPr>
        <w:t xml:space="preserve"> Birimine verilecek olup saat 14</w:t>
      </w:r>
      <w:r w:rsidRPr="00FA3220">
        <w:rPr>
          <w:szCs w:val="24"/>
        </w:rPr>
        <w:t>.00’den sonra verilecek te</w:t>
      </w:r>
      <w:r w:rsidR="00757E0B">
        <w:rPr>
          <w:szCs w:val="24"/>
        </w:rPr>
        <w:t xml:space="preserve">klifler işleme konulmayacaktır. </w:t>
      </w:r>
      <w:r w:rsidR="00757E0B" w:rsidRPr="00757E0B">
        <w:rPr>
          <w:szCs w:val="24"/>
        </w:rPr>
        <w:t>İşin bitim tarihi yer teslimi yapıldıktan sonra 30 takvim günüdür.</w:t>
      </w:r>
    </w:p>
    <w:p w:rsidR="00FA3220" w:rsidRDefault="00FA3220" w:rsidP="00FA3220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FA3220">
        <w:rPr>
          <w:szCs w:val="24"/>
        </w:rPr>
        <w:t xml:space="preserve">Bu iş için verilecek teklifler </w:t>
      </w:r>
      <w:proofErr w:type="gramStart"/>
      <w:r w:rsidR="00B47316">
        <w:rPr>
          <w:b/>
          <w:szCs w:val="24"/>
        </w:rPr>
        <w:t>20/09/2022</w:t>
      </w:r>
      <w:proofErr w:type="gramEnd"/>
      <w:r w:rsidR="00B47316">
        <w:rPr>
          <w:b/>
          <w:szCs w:val="24"/>
        </w:rPr>
        <w:t xml:space="preserve"> Salı günü saat 14</w:t>
      </w:r>
      <w:r w:rsidRPr="00FA3220">
        <w:rPr>
          <w:b/>
          <w:szCs w:val="24"/>
        </w:rPr>
        <w:t>.00’de</w:t>
      </w:r>
      <w:r w:rsidRPr="00FA3220">
        <w:rPr>
          <w:szCs w:val="24"/>
        </w:rPr>
        <w:t xml:space="preserve"> açılacaktır. İlgililerin istemeleri halinde zarfların açılış saatinde Burhaniye İlçe Milli Eğitim Müdürlüğü İnşaat ve Emlak Şubesi biriminde hazır bulunmaları gerekmektedir.</w:t>
      </w:r>
    </w:p>
    <w:p w:rsidR="00D95886" w:rsidRDefault="00D95886" w:rsidP="00A208D0">
      <w:pPr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245"/>
        <w:gridCol w:w="664"/>
        <w:gridCol w:w="611"/>
        <w:gridCol w:w="1134"/>
        <w:gridCol w:w="851"/>
        <w:gridCol w:w="567"/>
      </w:tblGrid>
      <w:tr w:rsidR="008A02B8" w:rsidTr="002A6824">
        <w:tc>
          <w:tcPr>
            <w:tcW w:w="7479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1985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567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2A6824">
        <w:tc>
          <w:tcPr>
            <w:tcW w:w="392" w:type="dxa"/>
          </w:tcPr>
          <w:p w:rsidR="008A02B8" w:rsidRPr="00566007" w:rsidRDefault="00FA3220" w:rsidP="00A208D0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8A02B8"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567" w:type="dxa"/>
          </w:tcPr>
          <w:p w:rsidR="008A02B8" w:rsidRPr="00566007" w:rsidRDefault="008A02B8" w:rsidP="002A6824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</w:t>
            </w:r>
            <w:r w:rsidR="00FA32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6824">
              <w:rPr>
                <w:b/>
                <w:sz w:val="18"/>
                <w:szCs w:val="18"/>
              </w:rPr>
              <w:t>KalemiN</w:t>
            </w:r>
            <w:r w:rsidRPr="00566007">
              <w:rPr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245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664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611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851" w:type="dxa"/>
            <w:vAlign w:val="center"/>
          </w:tcPr>
          <w:p w:rsidR="008A02B8" w:rsidRPr="00FA3220" w:rsidRDefault="008A02B8" w:rsidP="00FA3220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567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2A6824">
        <w:tc>
          <w:tcPr>
            <w:tcW w:w="392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5245" w:type="dxa"/>
          </w:tcPr>
          <w:p w:rsidR="00B47316" w:rsidRPr="00B47316" w:rsidRDefault="00B47316" w:rsidP="00B47316">
            <w:pPr>
              <w:rPr>
                <w:sz w:val="20"/>
              </w:rPr>
            </w:pPr>
            <w:proofErr w:type="spellStart"/>
            <w:r w:rsidRPr="00B47316">
              <w:rPr>
                <w:sz w:val="20"/>
              </w:rPr>
              <w:t>Bahadınlı</w:t>
            </w:r>
            <w:proofErr w:type="spellEnd"/>
            <w:r w:rsidRPr="00B47316">
              <w:rPr>
                <w:sz w:val="20"/>
              </w:rPr>
              <w:t xml:space="preserve"> İlkokulu binası çatısında muhtelif yerlerde yaklaşık olarak 10 m2 </w:t>
            </w:r>
            <w:proofErr w:type="spellStart"/>
            <w:r w:rsidRPr="00B47316">
              <w:rPr>
                <w:sz w:val="20"/>
              </w:rPr>
              <w:t>lik</w:t>
            </w:r>
            <w:proofErr w:type="spellEnd"/>
            <w:r w:rsidRPr="00B47316">
              <w:rPr>
                <w:sz w:val="20"/>
              </w:rPr>
              <w:t xml:space="preserve"> bir alanda kiremitlerin değiştirilmesi, yağmur oluklarının bir kısmında meydana gelen delik ve bozulmaların tamir edilmesi ve bina girişinde bulunan sundurmanın değiştirilmesi,</w:t>
            </w:r>
          </w:p>
          <w:p w:rsidR="00B47316" w:rsidRPr="00B47316" w:rsidRDefault="00B47316" w:rsidP="00B4731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B47316">
              <w:rPr>
                <w:sz w:val="20"/>
              </w:rPr>
              <w:t>kul</w:t>
            </w:r>
            <w:r>
              <w:rPr>
                <w:sz w:val="20"/>
              </w:rPr>
              <w:t xml:space="preserve"> binasının pencere çerçeve ken</w:t>
            </w:r>
            <w:r w:rsidRPr="00B47316">
              <w:rPr>
                <w:sz w:val="20"/>
              </w:rPr>
              <w:t>arlarında oluşan deformasyondan dolayı yağmurlu günlerde kenarlardan su sı</w:t>
            </w:r>
            <w:r>
              <w:rPr>
                <w:sz w:val="20"/>
              </w:rPr>
              <w:t>zıntısı oluşmaktadır. Bu amaçla;</w:t>
            </w:r>
          </w:p>
          <w:p w:rsidR="00B47316" w:rsidRPr="00B47316" w:rsidRDefault="00B47316" w:rsidP="00B47316">
            <w:pPr>
              <w:rPr>
                <w:sz w:val="20"/>
              </w:rPr>
            </w:pPr>
            <w:r>
              <w:rPr>
                <w:sz w:val="20"/>
              </w:rPr>
              <w:t>*14 adet</w:t>
            </w:r>
            <w:r w:rsidRPr="00B47316">
              <w:rPr>
                <w:sz w:val="20"/>
              </w:rPr>
              <w:t xml:space="preserve"> 150x150 cm pencere kenarlarının onarılması</w:t>
            </w:r>
            <w:r>
              <w:rPr>
                <w:sz w:val="20"/>
              </w:rPr>
              <w:t>.</w:t>
            </w:r>
          </w:p>
          <w:p w:rsidR="008A02B8" w:rsidRPr="00566007" w:rsidRDefault="00B47316" w:rsidP="00B47316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B47316">
              <w:rPr>
                <w:sz w:val="20"/>
              </w:rPr>
              <w:t>Bina giriş katında bulunan 1 ade</w:t>
            </w:r>
            <w:r>
              <w:rPr>
                <w:sz w:val="20"/>
              </w:rPr>
              <w:t>t 40x100 cm ahşap pencerenin PVC</w:t>
            </w:r>
            <w:r w:rsidRPr="00B47316">
              <w:rPr>
                <w:sz w:val="20"/>
              </w:rPr>
              <w:t xml:space="preserve"> pencere ile değiştirilmesi</w:t>
            </w:r>
          </w:p>
        </w:tc>
        <w:tc>
          <w:tcPr>
            <w:tcW w:w="664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611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2A6824">
        <w:tc>
          <w:tcPr>
            <w:tcW w:w="392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5245" w:type="dxa"/>
          </w:tcPr>
          <w:p w:rsidR="00B47316" w:rsidRPr="00B47316" w:rsidRDefault="008A02B8" w:rsidP="00B47316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Cumhuriyet İlkokulu </w:t>
            </w:r>
            <w:r w:rsidR="00B47316" w:rsidRPr="00B47316">
              <w:rPr>
                <w:sz w:val="20"/>
              </w:rPr>
              <w:t>B Bloğunda bulunan çatı arası boşluktan yağmur suyu tuvalet girişlerine</w:t>
            </w:r>
            <w:r w:rsidR="00C25D48">
              <w:rPr>
                <w:sz w:val="20"/>
              </w:rPr>
              <w:t xml:space="preserve"> </w:t>
            </w:r>
            <w:r w:rsidR="00B47316" w:rsidRPr="00B47316">
              <w:rPr>
                <w:sz w:val="20"/>
              </w:rPr>
              <w:t>aktığından bu</w:t>
            </w:r>
            <w:r w:rsidR="00C25D48">
              <w:rPr>
                <w:sz w:val="20"/>
              </w:rPr>
              <w:t xml:space="preserve"> bölgenin kapatılması</w:t>
            </w:r>
            <w:r w:rsidR="00B47316" w:rsidRPr="00B47316">
              <w:rPr>
                <w:sz w:val="20"/>
              </w:rPr>
              <w:t>.</w:t>
            </w:r>
          </w:p>
          <w:p w:rsidR="00B47316" w:rsidRPr="00B47316" w:rsidRDefault="00C25D48" w:rsidP="00B47316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B47316" w:rsidRPr="00B47316">
              <w:rPr>
                <w:sz w:val="20"/>
              </w:rPr>
              <w:t>Okulumuz B Blok çatısının özellikle bahçeye bakan çatı kiremitlerindeki bir bölgenin değişm</w:t>
            </w:r>
            <w:r>
              <w:rPr>
                <w:sz w:val="20"/>
              </w:rPr>
              <w:t>esi ya da kontrol edilmesi</w:t>
            </w:r>
          </w:p>
          <w:p w:rsidR="008A02B8" w:rsidRPr="00566007" w:rsidRDefault="00C25D48" w:rsidP="00B47316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B47316" w:rsidRPr="00B47316">
              <w:rPr>
                <w:sz w:val="20"/>
              </w:rPr>
              <w:t xml:space="preserve">Okulumuz A ve B Blok çatı oluklarından eskiyenlerin değişimi ve bu olukların tıkanıklık durumunun </w:t>
            </w:r>
            <w:r>
              <w:rPr>
                <w:sz w:val="20"/>
              </w:rPr>
              <w:t>elden geçirilmesi.</w:t>
            </w:r>
          </w:p>
        </w:tc>
        <w:tc>
          <w:tcPr>
            <w:tcW w:w="664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611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2A6824">
        <w:tc>
          <w:tcPr>
            <w:tcW w:w="392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5245" w:type="dxa"/>
          </w:tcPr>
          <w:p w:rsidR="008A02B8" w:rsidRPr="00566007" w:rsidRDefault="00C25D48" w:rsidP="00C25D48">
            <w:pPr>
              <w:rPr>
                <w:sz w:val="20"/>
              </w:rPr>
            </w:pPr>
            <w:r>
              <w:rPr>
                <w:sz w:val="20"/>
              </w:rPr>
              <w:t>Faruk Kızıklı İlkokulu binası arka giriş kapısının yenilenmesi.</w:t>
            </w:r>
          </w:p>
        </w:tc>
        <w:tc>
          <w:tcPr>
            <w:tcW w:w="664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611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2A6824">
        <w:tc>
          <w:tcPr>
            <w:tcW w:w="392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5245" w:type="dxa"/>
          </w:tcPr>
          <w:p w:rsidR="008A02B8" w:rsidRPr="00566007" w:rsidRDefault="008A02B8" w:rsidP="002A6824">
            <w:pPr>
              <w:rPr>
                <w:sz w:val="20"/>
              </w:rPr>
            </w:pPr>
            <w:r w:rsidRPr="00566007">
              <w:rPr>
                <w:sz w:val="20"/>
              </w:rPr>
              <w:t>Ş</w:t>
            </w:r>
            <w:r w:rsidR="002A6824">
              <w:rPr>
                <w:sz w:val="20"/>
              </w:rPr>
              <w:t xml:space="preserve">arköy İlkokulu binası çatısına 20 adet mahya kiremit alınarak onarımının </w:t>
            </w:r>
            <w:r w:rsidRPr="00566007">
              <w:rPr>
                <w:sz w:val="20"/>
              </w:rPr>
              <w:t>yapılması.</w:t>
            </w:r>
          </w:p>
        </w:tc>
        <w:tc>
          <w:tcPr>
            <w:tcW w:w="664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611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2A6824">
        <w:tc>
          <w:tcPr>
            <w:tcW w:w="392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5245" w:type="dxa"/>
          </w:tcPr>
          <w:p w:rsidR="008A02B8" w:rsidRPr="00566007" w:rsidRDefault="008A02B8" w:rsidP="002A6824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Şehit Mustafa Serin Ortaokulunda bulunan </w:t>
            </w:r>
            <w:proofErr w:type="spellStart"/>
            <w:r w:rsidR="002A6824" w:rsidRPr="002A6824">
              <w:rPr>
                <w:sz w:val="20"/>
              </w:rPr>
              <w:t>Mxlogic</w:t>
            </w:r>
            <w:proofErr w:type="spellEnd"/>
            <w:r w:rsidR="002A6824" w:rsidRPr="002A6824">
              <w:rPr>
                <w:sz w:val="20"/>
              </w:rPr>
              <w:t xml:space="preserve"> Marka </w:t>
            </w:r>
            <w:r w:rsidR="002A6824">
              <w:rPr>
                <w:sz w:val="20"/>
              </w:rPr>
              <w:t>ve ML-22108</w:t>
            </w:r>
            <w:r w:rsidRPr="00566007">
              <w:rPr>
                <w:sz w:val="20"/>
              </w:rPr>
              <w:t xml:space="preserve"> Model yangın sisteminin, </w:t>
            </w:r>
            <w:r w:rsidR="002A6824">
              <w:rPr>
                <w:sz w:val="20"/>
              </w:rPr>
              <w:t>y</w:t>
            </w:r>
            <w:r w:rsidR="002A6824" w:rsidRPr="002A6824">
              <w:rPr>
                <w:sz w:val="20"/>
              </w:rPr>
              <w:t xml:space="preserve">angın </w:t>
            </w:r>
            <w:r w:rsidR="002A6824">
              <w:rPr>
                <w:sz w:val="20"/>
              </w:rPr>
              <w:t>i</w:t>
            </w:r>
            <w:r w:rsidR="002A6824" w:rsidRPr="002A6824">
              <w:rPr>
                <w:sz w:val="20"/>
              </w:rPr>
              <w:t xml:space="preserve">hbar </w:t>
            </w:r>
            <w:r w:rsidR="002A6824">
              <w:rPr>
                <w:sz w:val="20"/>
              </w:rPr>
              <w:t>b</w:t>
            </w:r>
            <w:r w:rsidR="002A6824" w:rsidRPr="002A6824">
              <w:rPr>
                <w:sz w:val="20"/>
              </w:rPr>
              <w:t xml:space="preserve">utonları </w:t>
            </w:r>
            <w:r w:rsidR="002A6824">
              <w:rPr>
                <w:sz w:val="20"/>
              </w:rPr>
              <w:t>k</w:t>
            </w:r>
            <w:r w:rsidR="002A6824" w:rsidRPr="002A6824">
              <w:rPr>
                <w:sz w:val="20"/>
              </w:rPr>
              <w:t xml:space="preserve">artlarının </w:t>
            </w:r>
            <w:r w:rsidR="002A6824">
              <w:rPr>
                <w:sz w:val="20"/>
              </w:rPr>
              <w:t>b</w:t>
            </w:r>
            <w:r w:rsidR="002A6824" w:rsidRPr="002A6824">
              <w:rPr>
                <w:sz w:val="20"/>
              </w:rPr>
              <w:t>akımı ve ilgili</w:t>
            </w:r>
            <w:r w:rsidR="002A6824">
              <w:rPr>
                <w:sz w:val="20"/>
              </w:rPr>
              <w:t xml:space="preserve"> </w:t>
            </w:r>
            <w:r w:rsidR="002A6824" w:rsidRPr="002A6824">
              <w:rPr>
                <w:sz w:val="20"/>
              </w:rPr>
              <w:t>cihazın bağlantılarının kontrolü.</w:t>
            </w:r>
          </w:p>
        </w:tc>
        <w:tc>
          <w:tcPr>
            <w:tcW w:w="664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611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2A6824">
        <w:tc>
          <w:tcPr>
            <w:tcW w:w="392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5245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Şehit Pilot Üsteğmen Erdem Mut Ortaokulu </w:t>
            </w:r>
            <w:proofErr w:type="gramStart"/>
            <w:r w:rsidRPr="00566007">
              <w:rPr>
                <w:sz w:val="20"/>
              </w:rPr>
              <w:t xml:space="preserve">binasına  </w:t>
            </w:r>
            <w:proofErr w:type="spellStart"/>
            <w:r w:rsidR="002A6824" w:rsidRPr="002A6824">
              <w:rPr>
                <w:sz w:val="20"/>
              </w:rPr>
              <w:t>Konvansiyonal</w:t>
            </w:r>
            <w:proofErr w:type="spellEnd"/>
            <w:proofErr w:type="gramEnd"/>
            <w:r w:rsidR="002A6824" w:rsidRPr="002A6824">
              <w:rPr>
                <w:sz w:val="20"/>
              </w:rPr>
              <w:t xml:space="preserve"> Yangın Alarm Butonu, Yangın Ana Kartı Paneli, 12V  9A Akü, Yangın Alarm Sistemi Kablosu alımı</w:t>
            </w:r>
            <w:r w:rsidR="002A6824">
              <w:rPr>
                <w:sz w:val="20"/>
              </w:rPr>
              <w:t xml:space="preserve"> işinin yapılması.</w:t>
            </w:r>
          </w:p>
        </w:tc>
        <w:tc>
          <w:tcPr>
            <w:tcW w:w="664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611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2A6824">
        <w:trPr>
          <w:trHeight w:val="862"/>
        </w:trPr>
        <w:tc>
          <w:tcPr>
            <w:tcW w:w="8613" w:type="dxa"/>
            <w:gridSpan w:val="6"/>
          </w:tcPr>
          <w:p w:rsidR="00E82EB4" w:rsidRDefault="00E82EB4" w:rsidP="00566007">
            <w:pPr>
              <w:jc w:val="right"/>
              <w:rPr>
                <w:b/>
                <w:bCs/>
                <w:sz w:val="20"/>
              </w:rPr>
            </w:pPr>
          </w:p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851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EE3768" w:rsidRPr="00EE3768" w:rsidRDefault="00EE3768" w:rsidP="00EE3768">
      <w:pPr>
        <w:tabs>
          <w:tab w:val="left" w:pos="6390"/>
        </w:tabs>
      </w:pPr>
    </w:p>
    <w:tbl>
      <w:tblPr>
        <w:tblW w:w="425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EE3768" w:rsidRPr="00EE3768" w:rsidTr="00E82EB4">
        <w:trPr>
          <w:trHeight w:val="304"/>
          <w:jc w:val="right"/>
        </w:trPr>
        <w:tc>
          <w:tcPr>
            <w:tcW w:w="0" w:type="auto"/>
          </w:tcPr>
          <w:p w:rsidR="00EE3768" w:rsidRPr="00EE3768" w:rsidRDefault="00BA6454" w:rsidP="003474A0">
            <w:pPr>
              <w:ind w:right="-5220"/>
              <w:jc w:val="both"/>
              <w:rPr>
                <w:vertAlign w:val="superscript"/>
              </w:rPr>
            </w:pPr>
            <w:r>
              <w:t xml:space="preserve">                    </w:t>
            </w:r>
            <w:bookmarkStart w:id="0" w:name="_GoBack"/>
            <w:bookmarkEnd w:id="0"/>
            <w:r w:rsidR="00EE3768" w:rsidRPr="00EE3768">
              <w:t>Adı - SOYADI / Ticaret unvanı</w:t>
            </w:r>
          </w:p>
        </w:tc>
      </w:tr>
      <w:tr w:rsidR="00EE3768" w:rsidRPr="00EE3768" w:rsidTr="00E82EB4">
        <w:trPr>
          <w:trHeight w:val="282"/>
          <w:jc w:val="right"/>
        </w:trPr>
        <w:tc>
          <w:tcPr>
            <w:tcW w:w="0" w:type="auto"/>
          </w:tcPr>
          <w:p w:rsidR="00EE3768" w:rsidRPr="00EE3768" w:rsidRDefault="00BA6454" w:rsidP="003474A0">
            <w:pPr>
              <w:jc w:val="both"/>
            </w:pPr>
            <w:r>
              <w:t xml:space="preserve">                                     </w:t>
            </w:r>
            <w:r w:rsidR="00EE3768" w:rsidRPr="00EE3768">
              <w:t xml:space="preserve">Kaşe ve İmza </w:t>
            </w:r>
          </w:p>
        </w:tc>
      </w:tr>
    </w:tbl>
    <w:p w:rsidR="00A208D0" w:rsidRDefault="00A208D0" w:rsidP="00E82EB4">
      <w:pPr>
        <w:rPr>
          <w:sz w:val="16"/>
        </w:rPr>
      </w:pPr>
    </w:p>
    <w:sectPr w:rsidR="00A208D0" w:rsidSect="002A6824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19" w:rsidRDefault="00315A19" w:rsidP="00EE3768">
      <w:r>
        <w:separator/>
      </w:r>
    </w:p>
  </w:endnote>
  <w:endnote w:type="continuationSeparator" w:id="0">
    <w:p w:rsidR="00315A19" w:rsidRDefault="00315A1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19" w:rsidRDefault="00315A19" w:rsidP="00EE3768">
      <w:r>
        <w:separator/>
      </w:r>
    </w:p>
  </w:footnote>
  <w:footnote w:type="continuationSeparator" w:id="0">
    <w:p w:rsidR="00315A19" w:rsidRDefault="00315A1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93C36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2A6824"/>
    <w:rsid w:val="0030135D"/>
    <w:rsid w:val="00315A19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3761A"/>
    <w:rsid w:val="00757E0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47316"/>
    <w:rsid w:val="00B954DA"/>
    <w:rsid w:val="00BA6454"/>
    <w:rsid w:val="00BD26C2"/>
    <w:rsid w:val="00BE1E72"/>
    <w:rsid w:val="00C1117A"/>
    <w:rsid w:val="00C12D91"/>
    <w:rsid w:val="00C22859"/>
    <w:rsid w:val="00C25D48"/>
    <w:rsid w:val="00C416F8"/>
    <w:rsid w:val="00C86A80"/>
    <w:rsid w:val="00CB2EEF"/>
    <w:rsid w:val="00CC5651"/>
    <w:rsid w:val="00CF4729"/>
    <w:rsid w:val="00D31B0A"/>
    <w:rsid w:val="00D442A8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82EB4"/>
    <w:rsid w:val="00EE3768"/>
    <w:rsid w:val="00EE4E3D"/>
    <w:rsid w:val="00F01B59"/>
    <w:rsid w:val="00F42689"/>
    <w:rsid w:val="00F61A06"/>
    <w:rsid w:val="00FA3220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6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  <w:style w:type="character" w:customStyle="1" w:styleId="Balk4Char">
    <w:name w:val="Başlık 4 Char"/>
    <w:basedOn w:val="VarsaylanParagrafYazTipi"/>
    <w:link w:val="Balk4"/>
    <w:semiHidden/>
    <w:rsid w:val="00BA6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6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  <w:style w:type="character" w:customStyle="1" w:styleId="Balk4Char">
    <w:name w:val="Başlık 4 Char"/>
    <w:basedOn w:val="VarsaylanParagrafYazTipi"/>
    <w:link w:val="Balk4"/>
    <w:semiHidden/>
    <w:rsid w:val="00BA6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eytchpi</cp:lastModifiedBy>
  <cp:revision>3</cp:revision>
  <dcterms:created xsi:type="dcterms:W3CDTF">2022-09-16T12:21:00Z</dcterms:created>
  <dcterms:modified xsi:type="dcterms:W3CDTF">2022-09-16T12:31:00Z</dcterms:modified>
</cp:coreProperties>
</file>